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ind w:left="364" w:right="0" w:firstLine="0"/>
        <w:rPr>
          <w:rFonts w:ascii="Times New Roman"/>
          <w:sz w:val="20"/>
        </w:rPr>
      </w:pPr>
      <w:r>
        <w:rPr>
          <w:rFonts w:ascii="Times New Roman"/>
          <w:sz w:val="20"/>
        </w:rPr>
        <w:drawing>
          <wp:inline distT="0" distB="0" distL="0" distR="0">
            <wp:extent cx="1042783" cy="628650"/>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042783" cy="628650"/>
                    </a:xfrm>
                    <a:prstGeom prst="rect">
                      <a:avLst/>
                    </a:prstGeom>
                  </pic:spPr>
                </pic:pic>
              </a:graphicData>
            </a:graphic>
          </wp:inline>
        </w:drawing>
      </w:r>
      <w:r>
        <w:rPr>
          <w:rFonts w:ascii="Times New Roman"/>
          <w:sz w:val="20"/>
        </w:rPr>
      </w:r>
    </w:p>
    <w:p>
      <w:pPr>
        <w:pStyle w:val="Heading1"/>
      </w:pPr>
      <w:r>
        <w:rPr>
          <w:color w:val="E72746"/>
        </w:rPr>
        <w:t>Study</w:t>
      </w:r>
      <w:r>
        <w:rPr>
          <w:color w:val="E72746"/>
          <w:spacing w:val="-2"/>
        </w:rPr>
        <w:t> </w:t>
      </w:r>
      <w:r>
        <w:rPr>
          <w:color w:val="E72746"/>
        </w:rPr>
        <w:t>Programmes </w:t>
      </w:r>
      <w:r>
        <w:rPr>
          <w:color w:val="E72746"/>
          <w:spacing w:val="-2"/>
        </w:rPr>
        <w:t>Factsheet</w:t>
      </w:r>
    </w:p>
    <w:p>
      <w:pPr>
        <w:pStyle w:val="Heading2"/>
        <w:spacing w:line="196" w:lineRule="auto"/>
      </w:pPr>
      <w:r>
        <w:rPr>
          <w:color w:val="231F20"/>
        </w:rPr>
        <w:t>The</w:t>
      </w:r>
      <w:r>
        <w:rPr>
          <w:color w:val="231F20"/>
          <w:spacing w:val="-3"/>
        </w:rPr>
        <w:t> </w:t>
      </w:r>
      <w:r>
        <w:rPr>
          <w:color w:val="231F20"/>
        </w:rPr>
        <w:t>Study</w:t>
      </w:r>
      <w:r>
        <w:rPr>
          <w:color w:val="231F20"/>
          <w:spacing w:val="-3"/>
        </w:rPr>
        <w:t> </w:t>
      </w:r>
      <w:r>
        <w:rPr>
          <w:color w:val="231F20"/>
        </w:rPr>
        <w:t>Programme</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new</w:t>
      </w:r>
      <w:r>
        <w:rPr>
          <w:color w:val="231F20"/>
          <w:spacing w:val="-3"/>
        </w:rPr>
        <w:t> </w:t>
      </w:r>
      <w:r>
        <w:rPr>
          <w:color w:val="231F20"/>
        </w:rPr>
        <w:t>approach</w:t>
      </w:r>
      <w:r>
        <w:rPr>
          <w:color w:val="231F20"/>
          <w:spacing w:val="-3"/>
        </w:rPr>
        <w:t> </w:t>
      </w:r>
      <w:r>
        <w:rPr>
          <w:color w:val="231F20"/>
        </w:rPr>
        <w:t>to</w:t>
      </w:r>
      <w:r>
        <w:rPr>
          <w:color w:val="231F20"/>
          <w:spacing w:val="-3"/>
        </w:rPr>
        <w:t> </w:t>
      </w:r>
      <w:r>
        <w:rPr>
          <w:color w:val="231F20"/>
        </w:rPr>
        <w:t>lead</w:t>
      </w:r>
      <w:r>
        <w:rPr>
          <w:color w:val="231F20"/>
          <w:spacing w:val="-3"/>
        </w:rPr>
        <w:t> </w:t>
      </w:r>
      <w:r>
        <w:rPr>
          <w:color w:val="231F20"/>
        </w:rPr>
        <w:t>16-19</w:t>
      </w:r>
      <w:r>
        <w:rPr>
          <w:color w:val="231F20"/>
          <w:spacing w:val="-3"/>
        </w:rPr>
        <w:t> </w:t>
      </w:r>
      <w:r>
        <w:rPr>
          <w:color w:val="231F20"/>
        </w:rPr>
        <w:t>year</w:t>
      </w:r>
      <w:r>
        <w:rPr>
          <w:color w:val="231F20"/>
          <w:spacing w:val="-3"/>
        </w:rPr>
        <w:t> </w:t>
      </w:r>
      <w:r>
        <w:rPr>
          <w:color w:val="231F20"/>
        </w:rPr>
        <w:t>olds</w:t>
      </w:r>
      <w:r>
        <w:rPr>
          <w:color w:val="231F20"/>
          <w:spacing w:val="-3"/>
        </w:rPr>
        <w:t> </w:t>
      </w:r>
      <w:r>
        <w:rPr>
          <w:color w:val="231F20"/>
        </w:rPr>
        <w:t>into further education and employment.</w:t>
      </w:r>
    </w:p>
    <w:p>
      <w:pPr>
        <w:pStyle w:val="BodyText"/>
        <w:spacing w:line="204" w:lineRule="auto" w:before="259"/>
        <w:ind w:left="121" w:right="332"/>
      </w:pPr>
      <w:r>
        <w:rPr>
          <w:color w:val="231F20"/>
        </w:rPr>
        <w:t>From</w:t>
      </w:r>
      <w:r>
        <w:rPr>
          <w:color w:val="231F20"/>
          <w:spacing w:val="-4"/>
        </w:rPr>
        <w:t> </w:t>
      </w:r>
      <w:r>
        <w:rPr>
          <w:color w:val="231F20"/>
        </w:rPr>
        <w:t>September</w:t>
      </w:r>
      <w:r>
        <w:rPr>
          <w:color w:val="231F20"/>
          <w:spacing w:val="-4"/>
        </w:rPr>
        <w:t> </w:t>
      </w:r>
      <w:r>
        <w:rPr>
          <w:color w:val="231F20"/>
        </w:rPr>
        <w:t>2013,</w:t>
      </w:r>
      <w:r>
        <w:rPr>
          <w:color w:val="231F20"/>
          <w:spacing w:val="-4"/>
        </w:rPr>
        <w:t> </w:t>
      </w:r>
      <w:r>
        <w:rPr>
          <w:color w:val="231F20"/>
        </w:rPr>
        <w:t>the</w:t>
      </w:r>
      <w:r>
        <w:rPr>
          <w:color w:val="231F20"/>
          <w:spacing w:val="-4"/>
        </w:rPr>
        <w:t> </w:t>
      </w:r>
      <w:r>
        <w:rPr>
          <w:color w:val="231F20"/>
        </w:rPr>
        <w:t>‘Raising</w:t>
      </w:r>
      <w:r>
        <w:rPr>
          <w:color w:val="231F20"/>
          <w:spacing w:val="-4"/>
        </w:rPr>
        <w:t> </w:t>
      </w:r>
      <w:r>
        <w:rPr>
          <w:color w:val="231F20"/>
        </w:rPr>
        <w:t>the</w:t>
      </w:r>
      <w:r>
        <w:rPr>
          <w:color w:val="231F20"/>
          <w:spacing w:val="-4"/>
        </w:rPr>
        <w:t> </w:t>
      </w:r>
      <w:r>
        <w:rPr>
          <w:color w:val="231F20"/>
        </w:rPr>
        <w:t>Participation</w:t>
      </w:r>
      <w:r>
        <w:rPr>
          <w:color w:val="231F20"/>
          <w:spacing w:val="-4"/>
        </w:rPr>
        <w:t> </w:t>
      </w:r>
      <w:r>
        <w:rPr>
          <w:color w:val="231F20"/>
        </w:rPr>
        <w:t>Age’</w:t>
      </w:r>
      <w:r>
        <w:rPr>
          <w:color w:val="231F20"/>
          <w:spacing w:val="-4"/>
        </w:rPr>
        <w:t> </w:t>
      </w:r>
      <w:r>
        <w:rPr>
          <w:color w:val="231F20"/>
        </w:rPr>
        <w:t>(RPA)</w:t>
      </w:r>
      <w:r>
        <w:rPr>
          <w:color w:val="231F20"/>
          <w:spacing w:val="-4"/>
        </w:rPr>
        <w:t> </w:t>
      </w:r>
      <w:r>
        <w:rPr>
          <w:color w:val="231F20"/>
        </w:rPr>
        <w:t>policy</w:t>
      </w:r>
      <w:r>
        <w:rPr>
          <w:color w:val="231F20"/>
          <w:spacing w:val="-4"/>
        </w:rPr>
        <w:t> </w:t>
      </w:r>
      <w:r>
        <w:rPr>
          <w:color w:val="231F20"/>
        </w:rPr>
        <w:t>will</w:t>
      </w:r>
      <w:r>
        <w:rPr>
          <w:color w:val="231F20"/>
          <w:spacing w:val="-4"/>
        </w:rPr>
        <w:t> </w:t>
      </w:r>
      <w:r>
        <w:rPr>
          <w:color w:val="231F20"/>
        </w:rPr>
        <w:t>come</w:t>
      </w:r>
      <w:r>
        <w:rPr>
          <w:color w:val="231F20"/>
          <w:spacing w:val="-4"/>
        </w:rPr>
        <w:t> </w:t>
      </w:r>
      <w:r>
        <w:rPr>
          <w:color w:val="231F20"/>
        </w:rPr>
        <w:t>into</w:t>
      </w:r>
      <w:r>
        <w:rPr>
          <w:color w:val="231F20"/>
          <w:spacing w:val="-4"/>
        </w:rPr>
        <w:t> </w:t>
      </w:r>
      <w:r>
        <w:rPr>
          <w:color w:val="231F20"/>
        </w:rPr>
        <w:t>effect</w:t>
      </w:r>
      <w:r>
        <w:rPr>
          <w:color w:val="231F20"/>
          <w:spacing w:val="-4"/>
        </w:rPr>
        <w:t> </w:t>
      </w:r>
      <w:r>
        <w:rPr>
          <w:color w:val="231F20"/>
        </w:rPr>
        <w:t>for</w:t>
      </w:r>
      <w:r>
        <w:rPr>
          <w:color w:val="231F20"/>
          <w:spacing w:val="-4"/>
        </w:rPr>
        <w:t> </w:t>
      </w:r>
      <w:r>
        <w:rPr>
          <w:color w:val="231F20"/>
        </w:rPr>
        <w:t>learners aged 16 to 19. This means that from summer 2013, 16 year olds in education will be required to ‘participate’ in learning until the end of the academic year in which they turn 17.</w:t>
      </w:r>
    </w:p>
    <w:p>
      <w:pPr>
        <w:pStyle w:val="BodyText"/>
        <w:spacing w:before="1"/>
        <w:ind w:left="0"/>
      </w:pPr>
    </w:p>
    <w:p>
      <w:pPr>
        <w:pStyle w:val="BodyText"/>
        <w:spacing w:line="204" w:lineRule="auto"/>
        <w:ind w:left="121" w:right="332"/>
      </w:pPr>
      <w:r>
        <w:rPr>
          <w:color w:val="231F20"/>
        </w:rPr>
        <w:t>From</w:t>
      </w:r>
      <w:r>
        <w:rPr>
          <w:color w:val="231F20"/>
          <w:spacing w:val="-2"/>
        </w:rPr>
        <w:t> </w:t>
      </w:r>
      <w:r>
        <w:rPr>
          <w:color w:val="231F20"/>
        </w:rPr>
        <w:t>summer</w:t>
      </w:r>
      <w:r>
        <w:rPr>
          <w:color w:val="231F20"/>
          <w:spacing w:val="-2"/>
        </w:rPr>
        <w:t> </w:t>
      </w:r>
      <w:r>
        <w:rPr>
          <w:color w:val="231F20"/>
        </w:rPr>
        <w:t>2015,</w:t>
      </w:r>
      <w:r>
        <w:rPr>
          <w:color w:val="231F20"/>
          <w:spacing w:val="-2"/>
        </w:rPr>
        <w:t> </w:t>
      </w:r>
      <w:r>
        <w:rPr>
          <w:color w:val="231F20"/>
        </w:rPr>
        <w:t>17</w:t>
      </w:r>
      <w:r>
        <w:rPr>
          <w:color w:val="231F20"/>
          <w:spacing w:val="-2"/>
        </w:rPr>
        <w:t> </w:t>
      </w:r>
      <w:r>
        <w:rPr>
          <w:color w:val="231F20"/>
        </w:rPr>
        <w:t>year</w:t>
      </w:r>
      <w:r>
        <w:rPr>
          <w:color w:val="231F20"/>
          <w:spacing w:val="-2"/>
        </w:rPr>
        <w:t> </w:t>
      </w:r>
      <w:r>
        <w:rPr>
          <w:color w:val="231F20"/>
        </w:rPr>
        <w:t>olds</w:t>
      </w:r>
      <w:r>
        <w:rPr>
          <w:color w:val="231F20"/>
          <w:spacing w:val="-2"/>
        </w:rPr>
        <w:t> </w:t>
      </w:r>
      <w:r>
        <w:rPr>
          <w:color w:val="231F20"/>
        </w:rPr>
        <w:t>will</w:t>
      </w:r>
      <w:r>
        <w:rPr>
          <w:color w:val="231F20"/>
          <w:spacing w:val="-2"/>
        </w:rPr>
        <w:t> </w:t>
      </w:r>
      <w:r>
        <w:rPr>
          <w:color w:val="231F20"/>
        </w:rPr>
        <w:t>be</w:t>
      </w:r>
      <w:r>
        <w:rPr>
          <w:color w:val="231F20"/>
          <w:spacing w:val="-2"/>
        </w:rPr>
        <w:t> </w:t>
      </w:r>
      <w:r>
        <w:rPr>
          <w:color w:val="231F20"/>
        </w:rPr>
        <w:t>required</w:t>
      </w:r>
      <w:r>
        <w:rPr>
          <w:color w:val="231F20"/>
          <w:spacing w:val="-2"/>
        </w:rPr>
        <w:t> </w:t>
      </w:r>
      <w:r>
        <w:rPr>
          <w:color w:val="231F20"/>
        </w:rPr>
        <w:t>to</w:t>
      </w:r>
      <w:r>
        <w:rPr>
          <w:color w:val="231F20"/>
          <w:spacing w:val="-2"/>
        </w:rPr>
        <w:t> </w:t>
      </w:r>
      <w:r>
        <w:rPr>
          <w:color w:val="231F20"/>
        </w:rPr>
        <w:t>participate</w:t>
      </w:r>
      <w:r>
        <w:rPr>
          <w:color w:val="231F20"/>
          <w:spacing w:val="-2"/>
        </w:rPr>
        <w:t> </w:t>
      </w:r>
      <w:r>
        <w:rPr>
          <w:color w:val="231F20"/>
        </w:rPr>
        <w:t>in</w:t>
      </w:r>
      <w:r>
        <w:rPr>
          <w:color w:val="231F20"/>
          <w:spacing w:val="-2"/>
        </w:rPr>
        <w:t> </w:t>
      </w:r>
      <w:r>
        <w:rPr>
          <w:color w:val="231F20"/>
        </w:rPr>
        <w:t>learning</w:t>
      </w:r>
      <w:r>
        <w:rPr>
          <w:color w:val="231F20"/>
          <w:spacing w:val="-2"/>
        </w:rPr>
        <w:t> </w:t>
      </w:r>
      <w:r>
        <w:rPr>
          <w:color w:val="231F20"/>
        </w:rPr>
        <w:t>until</w:t>
      </w:r>
      <w:r>
        <w:rPr>
          <w:color w:val="231F20"/>
          <w:spacing w:val="-2"/>
        </w:rPr>
        <w:t> </w:t>
      </w:r>
      <w:r>
        <w:rPr>
          <w:color w:val="231F20"/>
        </w:rPr>
        <w:t>the</w:t>
      </w:r>
      <w:r>
        <w:rPr>
          <w:color w:val="231F20"/>
          <w:spacing w:val="-2"/>
        </w:rPr>
        <w:t> </w:t>
      </w:r>
      <w:r>
        <w:rPr>
          <w:color w:val="231F20"/>
        </w:rPr>
        <w:t>end</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academic year in which they turn 18.</w:t>
      </w:r>
    </w:p>
    <w:p>
      <w:pPr>
        <w:pStyle w:val="BodyText"/>
        <w:spacing w:before="245"/>
        <w:ind w:left="121"/>
      </w:pPr>
      <w:r>
        <w:rPr>
          <w:color w:val="231F20"/>
        </w:rPr>
        <w:t>This participation will be counted as learners engaging in one of the </w:t>
      </w:r>
      <w:r>
        <w:rPr>
          <w:color w:val="231F20"/>
          <w:spacing w:val="-2"/>
        </w:rPr>
        <w:t>following:</w:t>
      </w:r>
    </w:p>
    <w:p>
      <w:pPr>
        <w:pStyle w:val="ListParagraph"/>
        <w:numPr>
          <w:ilvl w:val="0"/>
          <w:numId w:val="1"/>
        </w:numPr>
        <w:tabs>
          <w:tab w:pos="201" w:val="left" w:leader="none"/>
        </w:tabs>
        <w:spacing w:line="255" w:lineRule="exact" w:before="152" w:after="0"/>
        <w:ind w:left="201" w:right="0" w:hanging="124"/>
        <w:jc w:val="left"/>
        <w:rPr>
          <w:sz w:val="20"/>
        </w:rPr>
      </w:pPr>
      <w:r>
        <w:rPr>
          <w:color w:val="231F20"/>
          <w:sz w:val="20"/>
        </w:rPr>
        <w:t>full</w:t>
      </w:r>
      <w:r>
        <w:rPr>
          <w:color w:val="231F20"/>
          <w:spacing w:val="-2"/>
          <w:sz w:val="20"/>
        </w:rPr>
        <w:t> </w:t>
      </w:r>
      <w:r>
        <w:rPr>
          <w:color w:val="231F20"/>
          <w:sz w:val="20"/>
        </w:rPr>
        <w:t>time education (known as a study </w:t>
      </w:r>
      <w:r>
        <w:rPr>
          <w:color w:val="231F20"/>
          <w:spacing w:val="-2"/>
          <w:sz w:val="20"/>
        </w:rPr>
        <w:t>programme)</w:t>
      </w:r>
    </w:p>
    <w:p>
      <w:pPr>
        <w:pStyle w:val="ListParagraph"/>
        <w:numPr>
          <w:ilvl w:val="0"/>
          <w:numId w:val="1"/>
        </w:numPr>
        <w:tabs>
          <w:tab w:pos="201" w:val="left" w:leader="none"/>
        </w:tabs>
        <w:spacing w:line="233" w:lineRule="exact" w:before="0" w:after="0"/>
        <w:ind w:left="201" w:right="0" w:hanging="124"/>
        <w:jc w:val="left"/>
        <w:rPr>
          <w:sz w:val="20"/>
        </w:rPr>
      </w:pPr>
      <w:r>
        <w:rPr>
          <w:color w:val="231F20"/>
          <w:sz w:val="20"/>
        </w:rPr>
        <w:t>an </w:t>
      </w:r>
      <w:r>
        <w:rPr>
          <w:color w:val="231F20"/>
          <w:spacing w:val="-2"/>
          <w:sz w:val="20"/>
        </w:rPr>
        <w:t>apprenticeship</w:t>
      </w:r>
    </w:p>
    <w:p>
      <w:pPr>
        <w:pStyle w:val="ListParagraph"/>
        <w:numPr>
          <w:ilvl w:val="0"/>
          <w:numId w:val="1"/>
        </w:numPr>
        <w:tabs>
          <w:tab w:pos="201" w:val="left" w:leader="none"/>
        </w:tabs>
        <w:spacing w:line="233" w:lineRule="exact" w:before="0" w:after="0"/>
        <w:ind w:left="201" w:right="0" w:hanging="124"/>
        <w:jc w:val="left"/>
        <w:rPr>
          <w:sz w:val="20"/>
        </w:rPr>
      </w:pPr>
      <w:r>
        <w:rPr>
          <w:color w:val="231F20"/>
          <w:sz w:val="20"/>
        </w:rPr>
        <w:t>full time work involving at least 280 hours of qualification based learning per academic </w:t>
      </w:r>
      <w:r>
        <w:rPr>
          <w:color w:val="231F20"/>
          <w:spacing w:val="-4"/>
          <w:sz w:val="20"/>
        </w:rPr>
        <w:t>year</w:t>
      </w:r>
    </w:p>
    <w:p>
      <w:pPr>
        <w:pStyle w:val="ListParagraph"/>
        <w:numPr>
          <w:ilvl w:val="0"/>
          <w:numId w:val="1"/>
        </w:numPr>
        <w:tabs>
          <w:tab w:pos="201" w:val="left" w:leader="none"/>
        </w:tabs>
        <w:spacing w:line="233" w:lineRule="exact" w:before="0" w:after="0"/>
        <w:ind w:left="201" w:right="0" w:hanging="124"/>
        <w:jc w:val="left"/>
        <w:rPr>
          <w:sz w:val="20"/>
        </w:rPr>
      </w:pPr>
      <w:r>
        <w:rPr>
          <w:color w:val="231F20"/>
          <w:sz w:val="20"/>
        </w:rPr>
        <w:t>a </w:t>
      </w:r>
      <w:r>
        <w:rPr>
          <w:color w:val="231F20"/>
          <w:spacing w:val="-2"/>
          <w:sz w:val="20"/>
        </w:rPr>
        <w:t>traineeship</w:t>
      </w:r>
    </w:p>
    <w:p>
      <w:pPr>
        <w:pStyle w:val="ListParagraph"/>
        <w:numPr>
          <w:ilvl w:val="0"/>
          <w:numId w:val="1"/>
        </w:numPr>
        <w:tabs>
          <w:tab w:pos="201" w:val="left" w:leader="none"/>
        </w:tabs>
        <w:spacing w:line="233" w:lineRule="exact" w:before="0" w:after="0"/>
        <w:ind w:left="201" w:right="0" w:hanging="124"/>
        <w:jc w:val="left"/>
        <w:rPr>
          <w:sz w:val="20"/>
        </w:rPr>
      </w:pPr>
      <w:r>
        <w:rPr>
          <w:color w:val="231F20"/>
          <w:sz w:val="20"/>
        </w:rPr>
        <w:t>home </w:t>
      </w:r>
      <w:r>
        <w:rPr>
          <w:color w:val="231F20"/>
          <w:spacing w:val="-2"/>
          <w:sz w:val="20"/>
        </w:rPr>
        <w:t>education</w:t>
      </w:r>
    </w:p>
    <w:p>
      <w:pPr>
        <w:pStyle w:val="ListParagraph"/>
        <w:numPr>
          <w:ilvl w:val="0"/>
          <w:numId w:val="1"/>
        </w:numPr>
        <w:tabs>
          <w:tab w:pos="201" w:val="left" w:leader="none"/>
        </w:tabs>
        <w:spacing w:line="255" w:lineRule="exact" w:before="0" w:after="0"/>
        <w:ind w:left="201" w:right="0" w:hanging="124"/>
        <w:jc w:val="left"/>
        <w:rPr>
          <w:sz w:val="20"/>
        </w:rPr>
      </w:pPr>
      <w:r>
        <w:rPr>
          <w:color w:val="231F20"/>
          <w:spacing w:val="-2"/>
          <w:sz w:val="20"/>
        </w:rPr>
        <w:t>volunteering</w:t>
      </w:r>
    </w:p>
    <w:p>
      <w:pPr>
        <w:pStyle w:val="BodyText"/>
        <w:spacing w:line="204" w:lineRule="auto" w:before="267"/>
        <w:ind w:left="77" w:right="183"/>
      </w:pPr>
      <w:r>
        <w:rPr>
          <w:color w:val="231F20"/>
        </w:rPr>
        <w:t>The</w:t>
      </w:r>
      <w:r>
        <w:rPr>
          <w:color w:val="231F20"/>
          <w:spacing w:val="-2"/>
        </w:rPr>
        <w:t> </w:t>
      </w:r>
      <w:r>
        <w:rPr>
          <w:color w:val="231F20"/>
        </w:rPr>
        <w:t>full</w:t>
      </w:r>
      <w:r>
        <w:rPr>
          <w:color w:val="231F20"/>
          <w:spacing w:val="-2"/>
        </w:rPr>
        <w:t> </w:t>
      </w:r>
      <w:r>
        <w:rPr>
          <w:color w:val="231F20"/>
        </w:rPr>
        <w:t>time</w:t>
      </w:r>
      <w:r>
        <w:rPr>
          <w:color w:val="231F20"/>
          <w:spacing w:val="-2"/>
        </w:rPr>
        <w:t> </w:t>
      </w:r>
      <w:r>
        <w:rPr>
          <w:color w:val="231F20"/>
        </w:rPr>
        <w:t>Study</w:t>
      </w:r>
      <w:r>
        <w:rPr>
          <w:color w:val="231F20"/>
          <w:spacing w:val="-2"/>
        </w:rPr>
        <w:t> </w:t>
      </w:r>
      <w:r>
        <w:rPr>
          <w:color w:val="231F20"/>
        </w:rPr>
        <w:t>Programme</w:t>
      </w:r>
      <w:r>
        <w:rPr>
          <w:color w:val="231F20"/>
          <w:spacing w:val="-2"/>
        </w:rPr>
        <w:t> </w:t>
      </w:r>
      <w:r>
        <w:rPr>
          <w:color w:val="231F20"/>
        </w:rPr>
        <w:t>will</w:t>
      </w:r>
      <w:r>
        <w:rPr>
          <w:color w:val="231F20"/>
          <w:spacing w:val="-2"/>
        </w:rPr>
        <w:t> </w:t>
      </w:r>
      <w:r>
        <w:rPr>
          <w:color w:val="231F20"/>
        </w:rPr>
        <w:t>consist</w:t>
      </w:r>
      <w:r>
        <w:rPr>
          <w:color w:val="231F20"/>
          <w:spacing w:val="-2"/>
        </w:rPr>
        <w:t> </w:t>
      </w:r>
      <w:r>
        <w:rPr>
          <w:color w:val="231F20"/>
        </w:rPr>
        <w:t>of</w:t>
      </w:r>
      <w:r>
        <w:rPr>
          <w:color w:val="231F20"/>
          <w:spacing w:val="-2"/>
        </w:rPr>
        <w:t> </w:t>
      </w:r>
      <w:r>
        <w:rPr>
          <w:color w:val="231F20"/>
        </w:rPr>
        <w:t>between</w:t>
      </w:r>
      <w:r>
        <w:rPr>
          <w:color w:val="231F20"/>
          <w:spacing w:val="-2"/>
        </w:rPr>
        <w:t> </w:t>
      </w:r>
      <w:r>
        <w:rPr>
          <w:color w:val="231F20"/>
        </w:rPr>
        <w:t>540-600</w:t>
      </w:r>
      <w:r>
        <w:rPr>
          <w:color w:val="231F20"/>
          <w:spacing w:val="-2"/>
        </w:rPr>
        <w:t> </w:t>
      </w:r>
      <w:r>
        <w:rPr>
          <w:color w:val="231F20"/>
        </w:rPr>
        <w:t>learning</w:t>
      </w:r>
      <w:r>
        <w:rPr>
          <w:color w:val="231F20"/>
          <w:spacing w:val="-2"/>
        </w:rPr>
        <w:t> </w:t>
      </w:r>
      <w:r>
        <w:rPr>
          <w:color w:val="231F20"/>
        </w:rPr>
        <w:t>hours</w:t>
      </w:r>
      <w:r>
        <w:rPr>
          <w:color w:val="231F20"/>
          <w:spacing w:val="-2"/>
        </w:rPr>
        <w:t> </w:t>
      </w:r>
      <w:r>
        <w:rPr>
          <w:color w:val="231F20"/>
        </w:rPr>
        <w:t>per</w:t>
      </w:r>
      <w:r>
        <w:rPr>
          <w:color w:val="231F20"/>
          <w:spacing w:val="-2"/>
        </w:rPr>
        <w:t> </w:t>
      </w:r>
      <w:r>
        <w:rPr>
          <w:color w:val="231F20"/>
        </w:rPr>
        <w:t>academic</w:t>
      </w:r>
      <w:r>
        <w:rPr>
          <w:color w:val="231F20"/>
          <w:spacing w:val="-2"/>
        </w:rPr>
        <w:t> </w:t>
      </w:r>
      <w:r>
        <w:rPr>
          <w:color w:val="231F20"/>
        </w:rPr>
        <w:t>year</w:t>
      </w:r>
      <w:r>
        <w:rPr>
          <w:color w:val="231F20"/>
          <w:spacing w:val="-2"/>
        </w:rPr>
        <w:t> </w:t>
      </w:r>
      <w:r>
        <w:rPr>
          <w:color w:val="231F20"/>
        </w:rPr>
        <w:t>and</w:t>
      </w:r>
      <w:r>
        <w:rPr>
          <w:color w:val="231F20"/>
          <w:spacing w:val="-2"/>
        </w:rPr>
        <w:t> </w:t>
      </w:r>
      <w:r>
        <w:rPr>
          <w:color w:val="231F20"/>
        </w:rPr>
        <w:t>will contain either an academic programme or a substantial vocational qualification, and consist of a mixture of qualification and non-qualification (eg tutorial and work-experience) hours.</w:t>
      </w:r>
    </w:p>
    <w:p>
      <w:pPr>
        <w:pStyle w:val="BodyText"/>
        <w:spacing w:line="204" w:lineRule="auto" w:before="251"/>
        <w:ind w:right="183"/>
      </w:pPr>
      <w:r>
        <w:rPr>
          <w:color w:val="231F20"/>
        </w:rPr>
        <w:t>For</w:t>
      </w:r>
      <w:r>
        <w:rPr>
          <w:color w:val="231F20"/>
          <w:spacing w:val="-4"/>
        </w:rPr>
        <w:t> </w:t>
      </w:r>
      <w:r>
        <w:rPr>
          <w:color w:val="231F20"/>
        </w:rPr>
        <w:t>the</w:t>
      </w:r>
      <w:r>
        <w:rPr>
          <w:color w:val="231F20"/>
          <w:spacing w:val="-4"/>
        </w:rPr>
        <w:t> </w:t>
      </w:r>
      <w:r>
        <w:rPr>
          <w:color w:val="231F20"/>
        </w:rPr>
        <w:t>non-qualification</w:t>
      </w:r>
      <w:r>
        <w:rPr>
          <w:color w:val="231F20"/>
          <w:spacing w:val="-4"/>
        </w:rPr>
        <w:t> </w:t>
      </w:r>
      <w:r>
        <w:rPr>
          <w:color w:val="231F20"/>
        </w:rPr>
        <w:t>hours,</w:t>
      </w:r>
      <w:r>
        <w:rPr>
          <w:color w:val="231F20"/>
          <w:spacing w:val="-4"/>
        </w:rPr>
        <w:t> </w:t>
      </w:r>
      <w:r>
        <w:rPr>
          <w:color w:val="231F20"/>
        </w:rPr>
        <w:t>learners</w:t>
      </w:r>
      <w:r>
        <w:rPr>
          <w:color w:val="231F20"/>
          <w:spacing w:val="-4"/>
        </w:rPr>
        <w:t> </w:t>
      </w:r>
      <w:r>
        <w:rPr>
          <w:color w:val="231F20"/>
        </w:rPr>
        <w:t>are</w:t>
      </w:r>
      <w:r>
        <w:rPr>
          <w:color w:val="231F20"/>
          <w:spacing w:val="-4"/>
        </w:rPr>
        <w:t> </w:t>
      </w:r>
      <w:r>
        <w:rPr>
          <w:color w:val="231F20"/>
        </w:rPr>
        <w:t>required</w:t>
      </w:r>
      <w:r>
        <w:rPr>
          <w:color w:val="231F20"/>
          <w:spacing w:val="-4"/>
        </w:rPr>
        <w:t> </w:t>
      </w:r>
      <w:r>
        <w:rPr>
          <w:color w:val="231F20"/>
        </w:rPr>
        <w:t>‘where</w:t>
      </w:r>
      <w:r>
        <w:rPr>
          <w:color w:val="231F20"/>
          <w:spacing w:val="-4"/>
        </w:rPr>
        <w:t> </w:t>
      </w:r>
      <w:r>
        <w:rPr>
          <w:color w:val="231F20"/>
        </w:rPr>
        <w:t>appropriate…to</w:t>
      </w:r>
      <w:r>
        <w:rPr>
          <w:color w:val="231F20"/>
          <w:spacing w:val="-4"/>
        </w:rPr>
        <w:t> </w:t>
      </w:r>
      <w:r>
        <w:rPr>
          <w:color w:val="231F20"/>
        </w:rPr>
        <w:t>take</w:t>
      </w:r>
      <w:r>
        <w:rPr>
          <w:color w:val="231F20"/>
          <w:spacing w:val="-4"/>
        </w:rPr>
        <w:t> </w:t>
      </w:r>
      <w:r>
        <w:rPr>
          <w:color w:val="231F20"/>
        </w:rPr>
        <w:t>part</w:t>
      </w:r>
      <w:r>
        <w:rPr>
          <w:color w:val="231F20"/>
          <w:spacing w:val="-4"/>
        </w:rPr>
        <w:t> </w:t>
      </w:r>
      <w:r>
        <w:rPr>
          <w:color w:val="231F20"/>
        </w:rPr>
        <w:t>in</w:t>
      </w:r>
      <w:r>
        <w:rPr>
          <w:color w:val="231F20"/>
          <w:spacing w:val="-4"/>
        </w:rPr>
        <w:t> </w:t>
      </w:r>
      <w:r>
        <w:rPr>
          <w:color w:val="231F20"/>
        </w:rPr>
        <w:t>work</w:t>
      </w:r>
      <w:r>
        <w:rPr>
          <w:color w:val="231F20"/>
          <w:spacing w:val="-4"/>
        </w:rPr>
        <w:t> </w:t>
      </w:r>
      <w:r>
        <w:rPr>
          <w:color w:val="231F20"/>
        </w:rPr>
        <w:t>experience’, that is relevant to their course of study.</w:t>
      </w:r>
    </w:p>
    <w:p>
      <w:pPr>
        <w:pStyle w:val="BodyText"/>
        <w:spacing w:before="30"/>
        <w:ind w:left="0"/>
      </w:pPr>
    </w:p>
    <w:p>
      <w:pPr>
        <w:pStyle w:val="BodyText"/>
        <w:spacing w:line="204" w:lineRule="auto"/>
        <w:ind w:right="136"/>
        <w:jc w:val="both"/>
      </w:pPr>
      <w:r>
        <w:rPr>
          <w:color w:val="231F20"/>
        </w:rPr>
        <w:t>Learners who haven’t yet achieved GCSE grade 4 in English and Maths at 16 will continue to study these subjects by re-sits or by taking Functional Skills or similar provision to enable them to progress towards their GCSE</w:t>
      </w:r>
      <w:r>
        <w:rPr>
          <w:color w:val="231F20"/>
          <w:spacing w:val="40"/>
        </w:rPr>
        <w:t> </w:t>
      </w:r>
      <w:r>
        <w:rPr>
          <w:color w:val="231F20"/>
        </w:rPr>
        <w:t>grade 4 or above achievement.</w:t>
      </w:r>
    </w:p>
    <w:p>
      <w:pPr>
        <w:pStyle w:val="BodyText"/>
        <w:spacing w:line="204" w:lineRule="auto" w:before="249"/>
        <w:ind w:right="183"/>
      </w:pPr>
      <w:r>
        <w:rPr>
          <w:color w:val="231F20"/>
        </w:rPr>
        <w:t>Those</w:t>
      </w:r>
      <w:r>
        <w:rPr>
          <w:color w:val="231F20"/>
          <w:spacing w:val="-3"/>
        </w:rPr>
        <w:t> </w:t>
      </w:r>
      <w:r>
        <w:rPr>
          <w:color w:val="231F20"/>
        </w:rPr>
        <w:t>students</w:t>
      </w:r>
      <w:r>
        <w:rPr>
          <w:color w:val="231F20"/>
          <w:spacing w:val="-3"/>
        </w:rPr>
        <w:t> </w:t>
      </w:r>
      <w:r>
        <w:rPr>
          <w:color w:val="231F20"/>
        </w:rPr>
        <w:t>who</w:t>
      </w:r>
      <w:r>
        <w:rPr>
          <w:color w:val="231F20"/>
          <w:spacing w:val="-3"/>
        </w:rPr>
        <w:t> </w:t>
      </w:r>
      <w:r>
        <w:rPr>
          <w:color w:val="231F20"/>
        </w:rPr>
        <w:t>aren’t</w:t>
      </w:r>
      <w:r>
        <w:rPr>
          <w:color w:val="231F20"/>
          <w:spacing w:val="-3"/>
        </w:rPr>
        <w:t> </w:t>
      </w:r>
      <w:r>
        <w:rPr>
          <w:color w:val="231F20"/>
        </w:rPr>
        <w:t>able</w:t>
      </w:r>
      <w:r>
        <w:rPr>
          <w:color w:val="231F20"/>
          <w:spacing w:val="-3"/>
        </w:rPr>
        <w:t> </w:t>
      </w:r>
      <w:r>
        <w:rPr>
          <w:color w:val="231F20"/>
        </w:rPr>
        <w:t>to</w:t>
      </w:r>
      <w:r>
        <w:rPr>
          <w:color w:val="231F20"/>
          <w:spacing w:val="-3"/>
        </w:rPr>
        <w:t> </w:t>
      </w:r>
      <w:r>
        <w:rPr>
          <w:color w:val="231F20"/>
        </w:rPr>
        <w:t>study</w:t>
      </w:r>
      <w:r>
        <w:rPr>
          <w:color w:val="231F20"/>
          <w:spacing w:val="-3"/>
        </w:rPr>
        <w:t> </w:t>
      </w:r>
      <w:r>
        <w:rPr>
          <w:color w:val="231F20"/>
        </w:rPr>
        <w:t>an</w:t>
      </w:r>
      <w:r>
        <w:rPr>
          <w:color w:val="231F20"/>
          <w:spacing w:val="-3"/>
        </w:rPr>
        <w:t> </w:t>
      </w:r>
      <w:r>
        <w:rPr>
          <w:color w:val="231F20"/>
        </w:rPr>
        <w:t>academic</w:t>
      </w:r>
      <w:r>
        <w:rPr>
          <w:color w:val="231F20"/>
          <w:spacing w:val="-3"/>
        </w:rPr>
        <w:t> </w:t>
      </w:r>
      <w:r>
        <w:rPr>
          <w:color w:val="231F20"/>
        </w:rPr>
        <w:t>programme</w:t>
      </w:r>
      <w:r>
        <w:rPr>
          <w:color w:val="231F20"/>
          <w:spacing w:val="-3"/>
        </w:rPr>
        <w:t> </w:t>
      </w:r>
      <w:r>
        <w:rPr>
          <w:color w:val="231F20"/>
        </w:rPr>
        <w:t>or</w:t>
      </w:r>
      <w:r>
        <w:rPr>
          <w:color w:val="231F20"/>
          <w:spacing w:val="-3"/>
        </w:rPr>
        <w:t> </w:t>
      </w:r>
      <w:r>
        <w:rPr>
          <w:color w:val="231F20"/>
        </w:rPr>
        <w:t>a</w:t>
      </w:r>
      <w:r>
        <w:rPr>
          <w:color w:val="231F20"/>
          <w:spacing w:val="-3"/>
        </w:rPr>
        <w:t> </w:t>
      </w:r>
      <w:r>
        <w:rPr>
          <w:color w:val="231F20"/>
        </w:rPr>
        <w:t>substantial</w:t>
      </w:r>
      <w:r>
        <w:rPr>
          <w:color w:val="231F20"/>
          <w:spacing w:val="-3"/>
        </w:rPr>
        <w:t> </w:t>
      </w:r>
      <w:r>
        <w:rPr>
          <w:color w:val="231F20"/>
        </w:rPr>
        <w:t>vocational</w:t>
      </w:r>
      <w:r>
        <w:rPr>
          <w:color w:val="231F20"/>
          <w:spacing w:val="-3"/>
        </w:rPr>
        <w:t> </w:t>
      </w:r>
      <w:r>
        <w:rPr>
          <w:color w:val="231F20"/>
        </w:rPr>
        <w:t>qualification (eg if they have complex learning needs and/or disadvantage) are required to take a programme of work experience and continue to develop their numeracy and literacy skills.</w:t>
      </w:r>
    </w:p>
    <w:p>
      <w:pPr>
        <w:pStyle w:val="Heading3"/>
      </w:pPr>
      <w:r>
        <w:rPr>
          <w:color w:val="E72746"/>
        </w:rPr>
        <w:t>For more advice and guidance please </w:t>
      </w:r>
      <w:r>
        <w:rPr>
          <w:color w:val="E72746"/>
          <w:spacing w:val="-2"/>
        </w:rPr>
        <w:t>contact:</w:t>
      </w:r>
    </w:p>
    <w:p>
      <w:pPr>
        <w:pStyle w:val="BodyText"/>
        <w:spacing w:before="9"/>
        <w:ind w:left="0"/>
        <w:rPr>
          <w:b/>
          <w:sz w:val="8"/>
        </w:rPr>
      </w:pPr>
    </w:p>
    <w:p>
      <w:pPr>
        <w:pStyle w:val="BodyText"/>
        <w:spacing w:after="0"/>
        <w:rPr>
          <w:b/>
          <w:sz w:val="8"/>
        </w:rPr>
        <w:sectPr>
          <w:type w:val="continuous"/>
          <w:pgSz w:w="11910" w:h="16840"/>
          <w:pgMar w:top="220" w:bottom="0" w:left="566" w:right="425"/>
        </w:sectPr>
      </w:pPr>
    </w:p>
    <w:p>
      <w:pPr>
        <w:spacing w:line="204" w:lineRule="auto" w:before="127"/>
        <w:ind w:left="57" w:right="968" w:firstLine="0"/>
        <w:jc w:val="left"/>
        <w:rPr>
          <w:sz w:val="20"/>
        </w:rPr>
      </w:pPr>
      <w:r>
        <w:rPr>
          <w:sz w:val="20"/>
        </w:rPr>
        <w:drawing>
          <wp:anchor distT="0" distB="0" distL="0" distR="0" allowOverlap="1" layoutInCell="1" locked="0" behindDoc="0" simplePos="0" relativeHeight="15728640">
            <wp:simplePos x="0" y="0"/>
            <wp:positionH relativeFrom="page">
              <wp:posOffset>4250</wp:posOffset>
            </wp:positionH>
            <wp:positionV relativeFrom="page">
              <wp:posOffset>8412518</wp:posOffset>
            </wp:positionV>
            <wp:extent cx="7555754" cy="2279484"/>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555754" cy="2279484"/>
                    </a:xfrm>
                    <a:prstGeom prst="rect">
                      <a:avLst/>
                    </a:prstGeom>
                  </pic:spPr>
                </pic:pic>
              </a:graphicData>
            </a:graphic>
          </wp:anchor>
        </w:drawing>
      </w:r>
      <w:r>
        <w:rPr>
          <w:b/>
          <w:color w:val="231F20"/>
          <w:sz w:val="20"/>
        </w:rPr>
        <w:t>Barnstaple</w:t>
      </w:r>
      <w:r>
        <w:rPr>
          <w:b/>
          <w:color w:val="231F20"/>
          <w:spacing w:val="-15"/>
          <w:sz w:val="20"/>
        </w:rPr>
        <w:t> </w:t>
      </w:r>
      <w:r>
        <w:rPr>
          <w:b/>
          <w:color w:val="231F20"/>
          <w:sz w:val="20"/>
        </w:rPr>
        <w:t>Campus </w:t>
      </w:r>
      <w:r>
        <w:rPr>
          <w:color w:val="231F20"/>
          <w:sz w:val="20"/>
        </w:rPr>
        <w:t>Old Sticklepath Hill </w:t>
      </w:r>
      <w:r>
        <w:rPr>
          <w:color w:val="231F20"/>
          <w:spacing w:val="-2"/>
          <w:sz w:val="20"/>
        </w:rPr>
        <w:t>Barnstaple</w:t>
      </w:r>
    </w:p>
    <w:p>
      <w:pPr>
        <w:pStyle w:val="BodyText"/>
        <w:spacing w:line="204" w:lineRule="auto"/>
        <w:ind w:right="2092"/>
      </w:pPr>
      <w:r>
        <w:rPr>
          <w:color w:val="231F20"/>
          <w:spacing w:val="-4"/>
        </w:rPr>
        <w:t>Devon </w:t>
      </w:r>
      <w:r>
        <w:rPr>
          <w:color w:val="231F20"/>
        </w:rPr>
        <w:t>EX31</w:t>
      </w:r>
      <w:r>
        <w:rPr>
          <w:color w:val="231F20"/>
          <w:spacing w:val="-14"/>
        </w:rPr>
        <w:t> </w:t>
      </w:r>
      <w:r>
        <w:rPr>
          <w:color w:val="231F20"/>
        </w:rPr>
        <w:t>2BQ</w:t>
      </w:r>
    </w:p>
    <w:p>
      <w:pPr>
        <w:pStyle w:val="BodyText"/>
        <w:spacing w:line="236" w:lineRule="exact"/>
      </w:pPr>
      <w:r>
        <w:rPr>
          <w:color w:val="231F20"/>
        </w:rPr>
        <w:t>01271 </w:t>
      </w:r>
      <w:r>
        <w:rPr>
          <w:color w:val="231F20"/>
          <w:spacing w:val="-2"/>
        </w:rPr>
        <w:t>852422</w:t>
      </w:r>
    </w:p>
    <w:p>
      <w:pPr>
        <w:pStyle w:val="BodyText"/>
        <w:spacing w:line="243" w:lineRule="exact"/>
      </w:pPr>
      <w:hyperlink r:id="rId7">
        <w:r>
          <w:rPr>
            <w:color w:val="231F20"/>
            <w:spacing w:val="-2"/>
          </w:rPr>
          <w:t>guidancecentre@petroc.ac.uk</w:t>
        </w:r>
      </w:hyperlink>
    </w:p>
    <w:p>
      <w:pPr>
        <w:spacing w:line="208" w:lineRule="auto" w:before="125"/>
        <w:ind w:left="57" w:right="3873" w:firstLine="0"/>
        <w:jc w:val="left"/>
        <w:rPr>
          <w:sz w:val="20"/>
        </w:rPr>
      </w:pPr>
      <w:r>
        <w:rPr/>
        <w:br w:type="column"/>
      </w:r>
      <w:r>
        <w:rPr>
          <w:b/>
          <w:color w:val="211E1F"/>
          <w:sz w:val="20"/>
        </w:rPr>
        <w:t>Tiverton</w:t>
      </w:r>
      <w:r>
        <w:rPr>
          <w:b/>
          <w:color w:val="211E1F"/>
          <w:spacing w:val="-15"/>
          <w:sz w:val="20"/>
        </w:rPr>
        <w:t> </w:t>
      </w:r>
      <w:r>
        <w:rPr>
          <w:b/>
          <w:color w:val="211E1F"/>
          <w:sz w:val="20"/>
        </w:rPr>
        <w:t>Campus </w:t>
      </w:r>
      <w:r>
        <w:rPr>
          <w:color w:val="211E1F"/>
          <w:sz w:val="20"/>
        </w:rPr>
        <w:t>Bolham Road </w:t>
      </w:r>
      <w:r>
        <w:rPr>
          <w:color w:val="211E1F"/>
          <w:spacing w:val="-2"/>
          <w:sz w:val="20"/>
        </w:rPr>
        <w:t>Tiverton</w:t>
      </w:r>
    </w:p>
    <w:p>
      <w:pPr>
        <w:pStyle w:val="BodyText"/>
        <w:spacing w:line="208" w:lineRule="auto" w:before="1"/>
        <w:ind w:right="4955"/>
      </w:pPr>
      <w:r>
        <w:rPr>
          <w:color w:val="211E1F"/>
          <w:spacing w:val="-4"/>
        </w:rPr>
        <w:t>Devon </w:t>
      </w:r>
      <w:r>
        <w:rPr>
          <w:color w:val="211E1F"/>
        </w:rPr>
        <w:t>EX16</w:t>
      </w:r>
      <w:r>
        <w:rPr>
          <w:color w:val="211E1F"/>
          <w:spacing w:val="-14"/>
        </w:rPr>
        <w:t> </w:t>
      </w:r>
      <w:r>
        <w:rPr>
          <w:color w:val="211E1F"/>
        </w:rPr>
        <w:t>6SH</w:t>
      </w:r>
    </w:p>
    <w:p>
      <w:pPr>
        <w:pStyle w:val="BodyText"/>
        <w:spacing w:line="229" w:lineRule="exact"/>
      </w:pPr>
      <w:r>
        <w:rPr>
          <w:color w:val="211E1F"/>
        </w:rPr>
        <w:t>01884 </w:t>
      </w:r>
      <w:r>
        <w:rPr>
          <w:color w:val="211E1F"/>
          <w:spacing w:val="-2"/>
        </w:rPr>
        <w:t>235330</w:t>
      </w:r>
    </w:p>
    <w:p>
      <w:pPr>
        <w:pStyle w:val="BodyText"/>
        <w:spacing w:line="258" w:lineRule="exact"/>
      </w:pPr>
      <w:hyperlink r:id="rId8">
        <w:r>
          <w:rPr>
            <w:color w:val="211E1F"/>
            <w:spacing w:val="-2"/>
          </w:rPr>
          <w:t>guidancecentretiverton@petroc.ac.uk</w:t>
        </w:r>
      </w:hyperlink>
    </w:p>
    <w:sectPr>
      <w:type w:val="continuous"/>
      <w:pgSz w:w="11910" w:h="16840"/>
      <w:pgMar w:top="220" w:bottom="0" w:left="566" w:right="425"/>
      <w:cols w:num="2" w:equalWidth="0">
        <w:col w:w="3090" w:space="1743"/>
        <w:col w:w="608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Montserrat">
    <w:altName w:val="Montserrat"/>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02" w:hanging="126"/>
      </w:pPr>
      <w:rPr>
        <w:rFonts w:hint="default" w:ascii="Verdana" w:hAnsi="Verdana" w:eastAsia="Verdana" w:cs="Verdana"/>
        <w:b w:val="0"/>
        <w:bCs w:val="0"/>
        <w:i w:val="0"/>
        <w:iCs w:val="0"/>
        <w:color w:val="231F20"/>
        <w:spacing w:val="0"/>
        <w:w w:val="70"/>
        <w:sz w:val="20"/>
        <w:szCs w:val="20"/>
        <w:lang w:val="en-US" w:eastAsia="en-US" w:bidi="ar-SA"/>
      </w:rPr>
    </w:lvl>
    <w:lvl w:ilvl="1">
      <w:start w:val="0"/>
      <w:numFmt w:val="bullet"/>
      <w:lvlText w:val="•"/>
      <w:lvlJc w:val="left"/>
      <w:pPr>
        <w:ind w:left="1271" w:hanging="126"/>
      </w:pPr>
      <w:rPr>
        <w:rFonts w:hint="default"/>
        <w:lang w:val="en-US" w:eastAsia="en-US" w:bidi="ar-SA"/>
      </w:rPr>
    </w:lvl>
    <w:lvl w:ilvl="2">
      <w:start w:val="0"/>
      <w:numFmt w:val="bullet"/>
      <w:lvlText w:val="•"/>
      <w:lvlJc w:val="left"/>
      <w:pPr>
        <w:ind w:left="2342" w:hanging="126"/>
      </w:pPr>
      <w:rPr>
        <w:rFonts w:hint="default"/>
        <w:lang w:val="en-US" w:eastAsia="en-US" w:bidi="ar-SA"/>
      </w:rPr>
    </w:lvl>
    <w:lvl w:ilvl="3">
      <w:start w:val="0"/>
      <w:numFmt w:val="bullet"/>
      <w:lvlText w:val="•"/>
      <w:lvlJc w:val="left"/>
      <w:pPr>
        <w:ind w:left="3414" w:hanging="126"/>
      </w:pPr>
      <w:rPr>
        <w:rFonts w:hint="default"/>
        <w:lang w:val="en-US" w:eastAsia="en-US" w:bidi="ar-SA"/>
      </w:rPr>
    </w:lvl>
    <w:lvl w:ilvl="4">
      <w:start w:val="0"/>
      <w:numFmt w:val="bullet"/>
      <w:lvlText w:val="•"/>
      <w:lvlJc w:val="left"/>
      <w:pPr>
        <w:ind w:left="4485" w:hanging="126"/>
      </w:pPr>
      <w:rPr>
        <w:rFonts w:hint="default"/>
        <w:lang w:val="en-US" w:eastAsia="en-US" w:bidi="ar-SA"/>
      </w:rPr>
    </w:lvl>
    <w:lvl w:ilvl="5">
      <w:start w:val="0"/>
      <w:numFmt w:val="bullet"/>
      <w:lvlText w:val="•"/>
      <w:lvlJc w:val="left"/>
      <w:pPr>
        <w:ind w:left="5557" w:hanging="126"/>
      </w:pPr>
      <w:rPr>
        <w:rFonts w:hint="default"/>
        <w:lang w:val="en-US" w:eastAsia="en-US" w:bidi="ar-SA"/>
      </w:rPr>
    </w:lvl>
    <w:lvl w:ilvl="6">
      <w:start w:val="0"/>
      <w:numFmt w:val="bullet"/>
      <w:lvlText w:val="•"/>
      <w:lvlJc w:val="left"/>
      <w:pPr>
        <w:ind w:left="6628" w:hanging="126"/>
      </w:pPr>
      <w:rPr>
        <w:rFonts w:hint="default"/>
        <w:lang w:val="en-US" w:eastAsia="en-US" w:bidi="ar-SA"/>
      </w:rPr>
    </w:lvl>
    <w:lvl w:ilvl="7">
      <w:start w:val="0"/>
      <w:numFmt w:val="bullet"/>
      <w:lvlText w:val="•"/>
      <w:lvlJc w:val="left"/>
      <w:pPr>
        <w:ind w:left="7700" w:hanging="126"/>
      </w:pPr>
      <w:rPr>
        <w:rFonts w:hint="default"/>
        <w:lang w:val="en-US" w:eastAsia="en-US" w:bidi="ar-SA"/>
      </w:rPr>
    </w:lvl>
    <w:lvl w:ilvl="8">
      <w:start w:val="0"/>
      <w:numFmt w:val="bullet"/>
      <w:lvlText w:val="•"/>
      <w:lvlJc w:val="left"/>
      <w:pPr>
        <w:ind w:left="8771" w:hanging="126"/>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ontserrat" w:hAnsi="Montserrat" w:eastAsia="Montserrat" w:cs="Montserrat"/>
      <w:lang w:val="en-US" w:eastAsia="en-US" w:bidi="ar-SA"/>
    </w:rPr>
  </w:style>
  <w:style w:styleId="BodyText" w:type="paragraph">
    <w:name w:val="Body Text"/>
    <w:basedOn w:val="Normal"/>
    <w:uiPriority w:val="1"/>
    <w:qFormat/>
    <w:pPr>
      <w:ind w:left="57"/>
    </w:pPr>
    <w:rPr>
      <w:rFonts w:ascii="Montserrat" w:hAnsi="Montserrat" w:eastAsia="Montserrat" w:cs="Montserrat"/>
      <w:sz w:val="20"/>
      <w:szCs w:val="20"/>
      <w:lang w:val="en-US" w:eastAsia="en-US" w:bidi="ar-SA"/>
    </w:rPr>
  </w:style>
  <w:style w:styleId="Heading1" w:type="paragraph">
    <w:name w:val="Heading 1"/>
    <w:basedOn w:val="Normal"/>
    <w:uiPriority w:val="1"/>
    <w:qFormat/>
    <w:pPr>
      <w:spacing w:before="247"/>
      <w:ind w:left="93"/>
      <w:outlineLvl w:val="1"/>
    </w:pPr>
    <w:rPr>
      <w:rFonts w:ascii="Montserrat" w:hAnsi="Montserrat" w:eastAsia="Montserrat" w:cs="Montserrat"/>
      <w:b/>
      <w:bCs/>
      <w:sz w:val="44"/>
      <w:szCs w:val="44"/>
      <w:lang w:val="en-US" w:eastAsia="en-US" w:bidi="ar-SA"/>
    </w:rPr>
  </w:style>
  <w:style w:styleId="Heading2" w:type="paragraph">
    <w:name w:val="Heading 2"/>
    <w:basedOn w:val="Normal"/>
    <w:uiPriority w:val="1"/>
    <w:qFormat/>
    <w:pPr>
      <w:spacing w:before="227"/>
      <w:ind w:left="121"/>
      <w:outlineLvl w:val="2"/>
    </w:pPr>
    <w:rPr>
      <w:rFonts w:ascii="Montserrat" w:hAnsi="Montserrat" w:eastAsia="Montserrat" w:cs="Montserrat"/>
      <w:b/>
      <w:bCs/>
      <w:sz w:val="28"/>
      <w:szCs w:val="28"/>
      <w:lang w:val="en-US" w:eastAsia="en-US" w:bidi="ar-SA"/>
    </w:rPr>
  </w:style>
  <w:style w:styleId="Heading3" w:type="paragraph">
    <w:name w:val="Heading 3"/>
    <w:basedOn w:val="Normal"/>
    <w:uiPriority w:val="1"/>
    <w:qFormat/>
    <w:pPr>
      <w:spacing w:before="131"/>
      <w:ind w:left="57"/>
      <w:jc w:val="both"/>
      <w:outlineLvl w:val="3"/>
    </w:pPr>
    <w:rPr>
      <w:rFonts w:ascii="Montserrat" w:hAnsi="Montserrat" w:eastAsia="Montserrat" w:cs="Montserrat"/>
      <w:b/>
      <w:bCs/>
      <w:sz w:val="24"/>
      <w:szCs w:val="24"/>
      <w:lang w:val="en-US" w:eastAsia="en-US" w:bidi="ar-SA"/>
    </w:rPr>
  </w:style>
  <w:style w:styleId="ListParagraph" w:type="paragraph">
    <w:name w:val="List Paragraph"/>
    <w:basedOn w:val="Normal"/>
    <w:uiPriority w:val="1"/>
    <w:qFormat/>
    <w:pPr>
      <w:spacing w:line="233" w:lineRule="exact"/>
      <w:ind w:left="201" w:hanging="124"/>
    </w:pPr>
    <w:rPr>
      <w:rFonts w:ascii="Montserrat" w:hAnsi="Montserrat" w:eastAsia="Montserrat" w:cs="Montserrat"/>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hyperlink" Target="mailto:guidancecentretiverton@petroc.ac.uk" TargetMode="External"/><Relationship Id="rId3" Type="http://schemas.openxmlformats.org/officeDocument/2006/relationships/theme" Target="theme/theme1.xml"/><Relationship Id="rId7" Type="http://schemas.openxmlformats.org/officeDocument/2006/relationships/hyperlink" Target="mailto:guidancecentre@petroc.ac.uk" TargetMode="External"/><Relationship Id="rId12" Type="http://schemas.openxmlformats.org/officeDocument/2006/relationships/customXml" Target="../customXml/item3.xml"/><Relationship Id="rId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customXml" Target="../customXml/item2.xml"/><Relationship Id="rId5" Type="http://schemas.openxmlformats.org/officeDocument/2006/relationships/image" Target="media/image1.jpeg"/><Relationship Id="rId10"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840F440A382F4B949D2134306D383C" ma:contentTypeVersion="15" ma:contentTypeDescription="Create a new document." ma:contentTypeScope="" ma:versionID="b792299d222df40e3c1b4a4f6b506664">
  <xsd:schema xmlns:xsd="http://www.w3.org/2001/XMLSchema" xmlns:xs="http://www.w3.org/2001/XMLSchema" xmlns:p="http://schemas.microsoft.com/office/2006/metadata/properties" xmlns:ns2="bf3118ab-206f-4af4-bee7-fbd679e4d80a" xmlns:ns3="af557f43-7c34-4003-bf46-d62ce87df9e0" targetNamespace="http://schemas.microsoft.com/office/2006/metadata/properties" ma:root="true" ma:fieldsID="2078d567eff77bc814194fc0cd4aaeac" ns2:_="" ns3:_="">
    <xsd:import namespace="bf3118ab-206f-4af4-bee7-fbd679e4d80a"/>
    <xsd:import namespace="af557f43-7c34-4003-bf46-d62ce87df9e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118ab-206f-4af4-bee7-fbd679e4d8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a0b450d-f863-42f9-9486-9fc79d1ee95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557f43-7c34-4003-bf46-d62ce87df9e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ca299a8-96eb-4ed2-9a16-92264543df32}" ma:internalName="TaxCatchAll" ma:showField="CatchAllData" ma:web="af557f43-7c34-4003-bf46-d62ce87df9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3118ab-206f-4af4-bee7-fbd679e4d80a">
      <Terms xmlns="http://schemas.microsoft.com/office/infopath/2007/PartnerControls"/>
    </lcf76f155ced4ddcb4097134ff3c332f>
    <TaxCatchAll xmlns="af557f43-7c34-4003-bf46-d62ce87df9e0" xsi:nil="true"/>
  </documentManagement>
</p:properties>
</file>

<file path=customXml/itemProps1.xml><?xml version="1.0" encoding="utf-8"?>
<ds:datastoreItem xmlns:ds="http://schemas.openxmlformats.org/officeDocument/2006/customXml" ds:itemID="{E943919A-6322-4E0A-A978-B38E20EA54DE}"/>
</file>

<file path=customXml/itemProps2.xml><?xml version="1.0" encoding="utf-8"?>
<ds:datastoreItem xmlns:ds="http://schemas.openxmlformats.org/officeDocument/2006/customXml" ds:itemID="{A0918F18-F94D-4AE2-AFB8-923DEF1B261F}"/>
</file>

<file path=customXml/itemProps3.xml><?xml version="1.0" encoding="utf-8"?>
<ds:datastoreItem xmlns:ds="http://schemas.openxmlformats.org/officeDocument/2006/customXml" ds:itemID="{43CBB9B1-4A43-4FE8-9C2F-3A0A69D03267}"/>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2025-11-26T13:23:33Z</dcterms:created>
  <dcterms:modified xsi:type="dcterms:W3CDTF">2025-11-26T13:23:33Z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2013-06-14T00:00:00Z</vt:filetime>
  </property>
  <property fmtid="{D5CDD505-2E9C-101B-9397-08002B2CF9AE}" pid="3" name="Creator">
    <vt:lpwstr>Adobe InDesign CS5.5 (7.5.3)</vt:lpwstr>
  </property>
  <property fmtid="{D5CDD505-2E9C-101B-9397-08002B2CF9AE}" pid="4" name="LastSaved">
    <vt:filetime>2025-11-26T00:00:00Z</vt:filetime>
  </property>
  <property fmtid="{D5CDD505-2E9C-101B-9397-08002B2CF9AE}" pid="5" name="Producer">
    <vt:lpwstr>Adobe PDF Library 9.9</vt:lpwstr>
  </property>
  <property fmtid="{D5CDD505-2E9C-101B-9397-08002B2CF9AE}" pid="6" name="ContentTypeId">
    <vt:lpwstr>0x01010039840F440A382F4B949D2134306D383C</vt:lpwstr>
  </property>
</Properties>
</file>